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§1748. Temporary emergency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Temporary emergency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§1748. TEMPORARY EMERGENCY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