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1923</w:t>
        <w:t xml:space="preserve">.  </w:t>
      </w:r>
      <w:r>
        <w:rPr>
          <w:b/>
        </w:rPr>
        <w:t xml:space="preserve">Parentage of child of assisted reproduction</w:t>
      </w:r>
    </w:p>
    <w:p>
      <w:pPr>
        <w:jc w:val="both"/>
        <w:spacing w:before="100" w:after="100"/>
        <w:ind w:start="360"/>
        <w:ind w:firstLine="360"/>
      </w:pPr>
      <w:r>
        <w:rPr/>
      </w:r>
      <w:r>
        <w:rPr/>
      </w:r>
      <w:r>
        <w:t xml:space="preserve">A person who provides gametes for and consents to or a person who consents to assisted reproduction by a woman as provided in </w:t>
      </w:r>
      <w:r>
        <w:t>section 1924</w:t>
      </w:r>
      <w:r>
        <w:t xml:space="preserve"> with the intent to be the parent of a resulting child is a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§1923. Parentage of child of assisted reproduction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§1923. Parentage of child of assisted reproduction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§1923. PARENTAGE OF CHILD OF ASSISTED REPRODUCTION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