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1927</w:t>
        <w:t xml:space="preserve">.  </w:t>
      </w:r>
      <w:r>
        <w:rPr>
          <w:b/>
        </w:rPr>
        <w:t xml:space="preserve">Parent status of deceased person</w:t>
      </w:r>
    </w:p>
    <w:p>
      <w:pPr>
        <w:jc w:val="both"/>
        <w:spacing w:before="100" w:after="100"/>
        <w:ind w:start="360"/>
        <w:ind w:firstLine="360"/>
      </w:pPr>
      <w:r>
        <w:rPr/>
      </w:r>
      <w:r>
        <w:rPr/>
      </w:r>
      <w:r>
        <w:t xml:space="preserve">If a person who consented in a signed record under </w:t>
      </w:r>
      <w:r>
        <w:t>section 1924</w:t>
      </w:r>
      <w:r>
        <w:t xml:space="preserve"> to be a parent by assisted reproduction dies before transfer or implantation of gametes or embryos, the deceased person is not a parent of the resulting child unless the deceased person consented in a signed record that, if assisted reproduction were to occur after death, the deceased person would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§1927. Parent status of deceased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§1927. Parent status of deceased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§1927. PARENT STATUS OF DECEASED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