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§1939. Liability for payment of gestational carrier health care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§1939. Liability for payment of gestational carrier health care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§1939. LIABILITY FOR PAYMENT OF GESTATIONAL CARRIER HEALTH CARE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