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w:t>
        <w:t xml:space="preserve">.  </w:t>
      </w:r>
      <w:r>
        <w:rPr>
          <w:b/>
        </w:rPr>
        <w:t xml:space="preserve">Notice of requirement of prompt payment</w:t>
      </w:r>
    </w:p>
    <w:p>
      <w:pPr>
        <w:jc w:val="both"/>
        <w:spacing w:before="100" w:after="100"/>
        <w:ind w:start="360"/>
        <w:ind w:firstLine="360"/>
      </w:pPr>
      <w:r>
        <w:rPr/>
      </w:r>
      <w:r>
        <w:rPr/>
      </w:r>
      <w:r>
        <w:t xml:space="preserve">In any case in which a debt is owed by a responsible parent under </w:t>
      </w:r>
      <w:r>
        <w:t>section 2301</w:t>
      </w:r>
      <w:r>
        <w:t xml:space="preserve">, the department shall notify the responsible parent, on any billing sent for the purpose of child support collection, that payment must be received in the month when due and that failure to make timely payment may result in child support being retained by the department that would otherwise be paid to that parent's child.  The notice must have a readability score, as determined by a recognized instrument for measuring adult literacy levels, equivalent to no higher than a 6th-grade reading level.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§2355. Notice of requirement of prompt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 Notice of requirement of prompt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§2355. NOTICE OF REQUIREMENT OF PROMPT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