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2802-A</w:t>
        <w:t xml:space="preserve">.  </w:t>
      </w:r>
      <w:r>
        <w:rPr>
          <w:b/>
        </w:rPr>
        <w:t xml:space="preserve">State tribunal and support enforcement agency</w:t>
      </w:r>
    </w:p>
    <w:p>
      <w:pPr>
        <w:jc w:val="both"/>
        <w:spacing w:before="100" w:after="0"/>
        <w:ind w:start="360"/>
        <w:ind w:firstLine="360"/>
      </w:pPr>
      <w:r>
        <w:rPr>
          <w:b/>
        </w:rPr>
        <w:t>1</w:t>
        <w:t xml:space="preserve">.  </w:t>
      </w:r>
      <w:r>
        <w:rPr>
          <w:b/>
        </w:rPr>
        <w:t xml:space="preserve">State tribunals.</w:t>
        <w:t xml:space="preserve"> </w:t>
      </w:r>
      <w:r>
        <w:t xml:space="preserve"> </w:t>
      </w:r>
      <w:r>
        <w:t xml:space="preserve">The District Court and the Department of Health and Human Services are tribunals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§22 (NEW); PL 2009, c. 95, §87 (AFF).]</w:t>
      </w:r>
    </w:p>
    <w:p>
      <w:pPr>
        <w:jc w:val="both"/>
        <w:spacing w:before="100" w:after="0"/>
        <w:ind w:start="360"/>
        <w:ind w:firstLine="360"/>
      </w:pPr>
      <w:r>
        <w:rPr>
          <w:b/>
        </w:rPr>
        <w:t>2</w:t>
        <w:t xml:space="preserve">.  </w:t>
      </w:r>
      <w:r>
        <w:rPr>
          <w:b/>
        </w:rPr>
        <w:t xml:space="preserve">State support enforcement agency.</w:t>
        <w:t xml:space="preserve"> </w:t>
      </w:r>
      <w:r>
        <w:t xml:space="preserve"> </w:t>
      </w:r>
      <w:r>
        <w:t xml:space="preserve">The Department of Health and Human Services is the support enforcement agency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§22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§22 (NEW).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§2802-A. State tribunal and support enforcement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§2802-A. State tribunal and support enforcement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§2802-A. STATE TRIBUNAL AND SUPPORT ENFORCEMENT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