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2963</w:t>
        <w:t xml:space="preserve">.  </w:t>
      </w:r>
      <w:r>
        <w:rPr>
          <w:b/>
        </w:rPr>
        <w:t xml:space="preserve">Initiating and responding tribunal of this State</w:t>
      </w:r>
    </w:p>
    <w:p>
      <w:pPr>
        <w:jc w:val="both"/>
        <w:spacing w:before="100" w:after="100"/>
        <w:ind w:start="360"/>
        <w:ind w:firstLine="360"/>
      </w:pPr>
      <w:r>
        <w:rPr/>
      </w:r>
      <w:r>
        <w:rPr/>
      </w:r>
      <w:r>
        <w:t xml:space="preserve">Under this chapter, a tribunal of this State may serve as an initiating tribunal to forward proceedings to a tribunal of another state and as a responding tribunal for proceedings initiated in another state or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§26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§26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§2963. Initiating and responding tribunal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§2963. Initiating and responding tribunal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§2963. INITIATING AND RESPONDING TRIBUNAL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