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§2967. Determination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§2967. DETERMINATION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