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It is the duty of the commission:</w:t>
      </w:r>
    </w:p>
    <w:p>
      <w:pPr>
        <w:jc w:val="both"/>
        <w:spacing w:before="100" w:after="0"/>
        <w:ind w:start="720"/>
      </w:pPr>
      <w:r>
        <w:rPr/>
        <w:t>A</w:t>
        <w:t xml:space="preserve">.  </w:t>
      </w:r>
      <w:r>
        <w:rPr/>
      </w:r>
      <w:r>
        <w:t xml:space="preserve">To examine the sections of this Title that pertain to family law and to draft amendments to those sections as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To evaluate the operation of this Title and to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To examine current laws pertaining to family law pleadings and to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To examine any other aspects of Maine's family law,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family laws and in related provisions as the commission considers appropriate.  The commission may also make recommendations to the Chief Justice of the Supreme Judicial Court, the Advisory Committee on Criminal Rules, the Advisory Committee on Civil Rules and to any other organization or committee whose affairs pertain to family law and its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§12 (AMD); PL 1997, c. 134,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134, §12 (AMD). PL 1997, c. 134,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