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w:t>
      </w:r>
    </w:p>
    <w:p>
      <w:pPr>
        <w:jc w:val="center"/>
        <w:ind w:start="360"/>
        <w:spacing w:before="300" w:after="300"/>
      </w:pPr>
      <w:r>
        <w:rPr>
          <w:b/>
        </w:rPr>
        <w:t xml:space="preserve">EXECUTIVE</w:t>
      </w:r>
    </w:p>
    <w:p>
      <w:pPr>
        <w:jc w:val="center"/>
        <w:ind w:start="360"/>
        <w:spacing w:before="300" w:after="300"/>
      </w:pPr>
      <w:r>
        <w:rPr>
          <w:b/>
        </w:rPr>
        <w:t>CHAPTER</w:t>
        <w:t xml:space="preserve"> </w:t>
        <w:t>1</w:t>
      </w:r>
    </w:p>
    <w:p>
      <w:pPr>
        <w:jc w:val="center"/>
        <w:ind w:start="360"/>
        <w:spacing w:before="300" w:after="300"/>
      </w:pPr>
      <w:r>
        <w:rPr>
          <w:b/>
        </w:rPr>
        <w:t xml:space="preserve">GOVERNOR</w:t>
      </w:r>
    </w:p>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Beginning the first Wednesday of January 1987, the Governor is entitled to receive an annual salary of $70,000.  Beginning the first Wednesday of January 2027, the Governor is entitled to receive an annual salary of $125,000.</w:t>
      </w:r>
      <w:r>
        <w:t xml:space="preserve">  </w:t>
      </w:r>
      <w:r xmlns:wp="http://schemas.openxmlformats.org/drawingml/2010/wordprocessingDrawing" xmlns:w15="http://schemas.microsoft.com/office/word/2012/wordml">
        <w:rPr>
          <w:rFonts w:ascii="Arial" w:hAnsi="Arial" w:cs="Arial"/>
          <w:sz w:val="22"/>
          <w:szCs w:val="22"/>
        </w:rPr>
        <w:t xml:space="preserve">[PL 2023, c. 488, §1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PL 2023, c. 488, §1 (AMD). </w:t>
      </w:r>
    </w:p>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$40,000 annually.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2023, c. 488,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PL 2023, c. 488, §2 (AMD). </w:t>
      </w:r>
    </w:p>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 and</w:t>
      </w:r>
    </w:p>
    <w:p xmlns:wp="http://schemas.openxmlformats.org/drawingml/2010/wordprocessingDrawing" xmlns:w15="http://schemas.microsoft.com/office/word/2012/wordml">
      <w:pPr>
        <w:spacing w:before="100" w:after="100"/>
        <w:ind w:start="720"/>
        <w:ind w:firstLine="0"/>
      </w:pPr>
      <w:r>
        <w:t xml:space="preserve">Deputy Commissioner,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w:t>
      </w:r>
    </w:p>
    <w:p xmlns:wp="http://schemas.openxmlformats.org/drawingml/2010/wordprocessingDrawing" xmlns:w15="http://schemas.microsoft.com/office/word/2012/wordml">
      <w:pPr>
        <w:spacing w:before="100" w:after="100"/>
        <w:ind w:start="720"/>
        <w:ind w:firstLine="0"/>
      </w:pPr>
      <w:r>
        <w:t xml:space="preserve">Executive Director, Office of Affordable Health Care; and</w:t>
      </w:r>
    </w:p>
    <w:p xmlns:wp="http://schemas.openxmlformats.org/drawingml/2010/wordprocessingDrawing" xmlns:w15="http://schemas.microsoft.com/office/word/2012/wordml">
      <w:pPr>
        <w:spacing w:before="100" w:after="100"/>
        <w:ind w:start="720"/>
        <w:ind w:firstLine="0"/>
      </w:pPr>
      <w:r>
        <w:t xml:space="preserve">Director, Maine Office of Community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Public Defense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PL 2023, c. 558, §1 (AMD). PL 2023, c. 625, §1 (AMD). PL 2023, c. 643, Pt. DD, §1 (AMD). </w:t>
      </w:r>
    </w:p>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[RR 2023, c. 2, Pt. A, §2 (COR).]</w:t>
      </w:r>
    </w:p>
    <w:p>
      <w:pPr>
        <w:jc w:val="both"/>
        <w:spacing w:before="100" w:after="0"/>
        <w:ind w:start="720"/>
      </w:pPr>
      <w:r>
        <w:rPr/>
        <w:t>I</w:t>
        <w:t xml:space="preserve">.  </w:t>
      </w:r>
      <w:r>
        <w:rPr/>
      </w:r>
      <w:r>
        <w:t xml:space="preserve">Monitor energy transmission capacity planning and policy affecting this State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2023, c. 646, Pt. A, §1 (AMD).]</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 (COR).]</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means owned by the State or by a state agency or state authority.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former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former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2023, c. 646, Pt. A, §2 (AMD).]</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 (AMD).]</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p>
    <w:p>
      <w:pPr>
        <w:jc w:val="both"/>
        <w:spacing w:before="100" w:after="0"/>
        <w:ind w:start="1080"/>
      </w:pPr>
      <w:r>
        <w:rPr/>
        <w:t>(</w:t>
        <w:t>3</w:t>
        <w:t xml:space="preserve">)  </w:t>
      </w:r>
      <w:r>
        <w:rPr/>
      </w:r>
      <w:r>
        <w:t xml:space="preserve">"Combined project" means a distributed solar facility that is paired with an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2023, c. 533, §1 (AMD).]</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paragraphs C</w:t>
      </w:r>
      <w:r>
        <w:t xml:space="preserve"> and </w:t>
      </w:r>
      <w:r>
        <w:t>F</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533, §2 (AMD).]</w:t>
      </w:r>
    </w:p>
    <w:p>
      <w:pPr>
        <w:jc w:val="both"/>
        <w:spacing w:before="100" w:after="0"/>
        <w:ind w:start="720"/>
      </w:pPr>
      <w:r>
        <w:rPr/>
        <w:t>F</w:t>
        <w:t xml:space="preserve">.  </w:t>
      </w:r>
      <w:r>
        <w:rPr/>
      </w:r>
      <w:r>
        <w:t xml:space="preserve">The office may petition the Public Utilities Commission to procure energy, capacity or renewable energy credits in accordance with </w:t>
      </w:r>
      <w:r>
        <w:t>Title 35‑A, section 3803</w:t>
      </w:r>
      <w:r>
        <w:t xml:space="preserve"> from distributed solar facilities or combined projects that receive federal funding pursuant to the program. The commission may not direct a transmission and distribution utility to enter into a long-term contract for energy, capacity or renewable energy credits from a distributed solar facility or a combined project unless the commission finds that the contract will benefit ratepayers and the procurement is in accordance with </w:t>
      </w:r>
      <w:r>
        <w:t>Title 35‑A, 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§§1-3 (AMD).]</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PL 2023, c. 533, §§1-3 (AMD). PL 2023, c. 646, Pt. A, §§1, 2 (AMD). RR 2023, c. 2, Pt. A, §2 (COR). </w:t>
      </w:r>
    </w:p>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jc w:val="center"/>
        <w:ind w:start="360"/>
        <w:spacing w:before="300" w:after="300"/>
      </w:pPr>
      <w:r>
        <w:rPr>
          <w:b/>
        </w:rPr>
        <w:t>CHAPTER</w:t>
        <w:t xml:space="preserve"> </w:t>
        <w:t>3</w:t>
      </w:r>
    </w:p>
    <w:p>
      <w:pPr>
        <w:jc w:val="center"/>
        <w:ind w:start="360"/>
        <w:spacing w:before="300" w:after="300"/>
      </w:pPr>
      <w:r>
        <w:rPr>
          <w:b/>
        </w:rPr>
        <w:t xml:space="preserve">EXECUTIVE COUNCIL</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jc w:val="center"/>
        <w:ind w:start="360"/>
        <w:spacing w:before="300" w:after="300"/>
      </w:pPr>
      <w:r>
        <w:rPr>
          <w:b/>
        </w:rPr>
        <w:t>CHAPTER</w:t>
        <w:t xml:space="preserve"> </w:t>
        <w:t>5</w:t>
      </w:r>
    </w:p>
    <w:p>
      <w:pPr>
        <w:jc w:val="center"/>
        <w:ind w:start="360"/>
        <w:spacing w:before="300" w:after="300"/>
      </w:pPr>
      <w:r>
        <w:rPr>
          <w:b/>
        </w:rPr>
        <w:t xml:space="preserve">STATE HEALTH PLANNING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jc w:val="center"/>
        <w:ind w:start="360"/>
        <w:spacing w:before="300" w:after="300"/>
      </w:pPr>
      <w:r>
        <w:rPr>
          <w:b/>
        </w:rPr>
        <w:t>CHAPTER</w:t>
        <w:t xml:space="preserve"> </w:t>
        <w:t>7</w:t>
      </w:r>
    </w:p>
    <w:p>
      <w:pPr>
        <w:jc w:val="center"/>
        <w:ind w:start="360"/>
        <w:spacing w:before="300" w:after="300"/>
      </w:pPr>
      <w:r>
        <w:rPr>
          <w:b/>
        </w:rPr>
        <w:t xml:space="preserve">RACIAL IMPACT STATEMENTS</w:t>
      </w:r>
    </w:p>
    <w:p>
      <w:pPr>
        <w:jc w:val="both"/>
        <w:spacing w:before="100" w:after="100"/>
        <w:ind w:start="1080" w:hanging="720"/>
      </w:pPr>
      <w:r>
        <w:rPr>
          <w:b/>
        </w:rPr>
        <w:t>§</w:t>
        <w:t>201</w:t>
        <w:t xml:space="preserve">.  </w:t>
      </w:r>
      <w:r>
        <w:rPr>
          <w:b/>
        </w:rPr>
        <w:t xml:space="preserve">Information regarding racial impact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  </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B</w:t>
        <w:t xml:space="preserve">.  </w:t>
      </w:r>
      <w:r>
        <w:rPr/>
      </w:r>
      <w:r>
        <w:t xml:space="preserve">"Racial impact statement" means an assessment of the potential impact that legislation could have on historically disadvantaged racial populations.</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C</w:t>
        <w:t xml:space="preserve">.  </w:t>
      </w:r>
      <w:r>
        <w:rPr/>
      </w:r>
      <w:r>
        <w:t xml:space="preserve">"State agency" means a state department, agency, office, board or commission or a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w:pPr>
        <w:jc w:val="both"/>
        <w:spacing w:before="100" w:after="0"/>
        <w:ind w:start="360"/>
        <w:ind w:firstLine="360"/>
      </w:pPr>
      <w:r>
        <w:rPr>
          <w:b/>
        </w:rPr>
        <w:t>2</w:t>
        <w:t xml:space="preserve">.  </w:t>
      </w:r>
      <w:r>
        <w:rPr>
          <w:b/>
        </w:rPr>
        <w:t xml:space="preserve">Racial impact statement information.</w:t>
        <w:t xml:space="preserve"> </w:t>
      </w:r>
      <w:r>
        <w:t xml:space="preserve"> </w:t>
      </w:r>
      <w:r>
        <w:t xml:space="preserve">Upon the request of a legislative committee, a commissioner or director of a state agency or the commissioner's or director's designee shall provide to that legislative committee data, analysis and other information within the agency's possession necessary for the Legislature to prepare a racial impact statement for legislation before that legislative committee or legislation being prepared by that legislative committee.  The racial impact statement information must be provided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 EXECUTIVE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 EXECUTIVE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EXECUTIVE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