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222</w:t>
      </w:r>
    </w:p>
    <w:p>
      <w:pPr>
        <w:jc w:val="center"/>
        <w:ind w:start="360"/>
        <w:spacing w:before="300" w:after="300"/>
      </w:pPr>
      <w:r>
        <w:rPr>
          <w:b/>
        </w:rPr>
        <w:t xml:space="preserve">STANDARDS AND ASSESSMENT OF STUDENT PERFORMANCE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222. STANDARDS AND ASSESSMENT OF STUDENT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222. STANDARDS AND ASSESSMENT OF STUDENT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222. STANDARDS AND ASSESSMENT OF STUDENT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