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THE SCHOOL FINANCE ACT</w:t>
      </w:r>
    </w:p>
    <w:p>
      <w:pPr>
        <w:jc w:val="center"/>
        <w:ind w:start="360"/>
        <w:spacing w:before="300" w:after="300"/>
      </w:pPr>
      <w:r>
        <w:rPr>
          <w:b/>
        </w:rPr>
        <w:t>(REPEALED)</w:t>
      </w:r>
    </w:p>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§1 (AMD). PL 1983, c. 576, §§2-6 (AMD). PL 1983, c. 806, §96 (AMD). PL 1983, c. 859, §§G1,G4 (RP). </w:t>
      </w:r>
    </w:p>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jc w:val="both"/>
        <w:spacing w:before="100" w:after="100"/>
        <w:ind w:start="1080" w:hanging="720"/>
      </w:pPr>
      <w:r>
        <w:rPr>
          <w:b/>
        </w:rPr>
        <w:t>§</w:t>
        <w:t>15509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PL 1983, c. 859, §§K4-K5,K7 (AMD). PL 1985, c. 506, §§A38,39 (RP). </w:t>
      </w:r>
    </w:p>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605. THE SCHOOL FINANCE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THE SCHOOL FINANCE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605. THE SCHOOL FINANCE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