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802. MAINE ONLINE LEARNING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802. MAINE ONLINE LEARNING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