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4. Prohibition of h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Prohibition of ha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4. PROHIBITION OF H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