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§10011. Retention and graduation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§10011. Retention and graduation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§10011. RETENTION AND GRADUATION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