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§10014. HOMELESS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