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Conflict of interest;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Conflict of interest;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§1004. CONFLICT OF INTEREST;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