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10709</w:t>
        <w:t xml:space="preserve">.  </w:t>
      </w:r>
      <w:r>
        <w:rPr>
          <w:b/>
        </w:rPr>
        <w:t xml:space="preserve">Penalties</w:t>
      </w:r>
    </w:p>
    <w:p>
      <w:pPr>
        <w:jc w:val="both"/>
        <w:spacing w:before="100" w:after="100"/>
        <w:ind w:start="360"/>
        <w:ind w:firstLine="360"/>
      </w:pPr>
      <w:r>
        <w:rPr/>
      </w:r>
      <w:r>
        <w:rPr/>
      </w:r>
      <w:r>
        <w:t xml:space="preserve">Any educational institution conferring degrees within the State or offering courses or programs within the State that carry academic credit without being authorized or approved to do so in accordance with this chapter is subject to a civil penalty of not more than $5,000,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1991, c. 548,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548, §A14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§10709.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§10709.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