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11051</w:t>
        <w:t xml:space="preserve">.  </w:t>
      </w:r>
      <w:r>
        <w:rPr>
          <w:b/>
        </w:rPr>
        <w:t xml:space="preserve">Ratification</w:t>
      </w:r>
    </w:p>
    <w:p>
      <w:pPr>
        <w:jc w:val="both"/>
        <w:spacing w:before="100" w:after="100"/>
        <w:ind w:start="360"/>
        <w:ind w:firstLine="360"/>
      </w:pPr>
      <w:r>
        <w:rPr/>
      </w:r>
      <w:r>
        <w:rPr/>
      </w:r>
      <w:r>
        <w:t xml:space="preserve">The Governor, on behalf of this State, may enter into a compact, substantially in the form provided in this chapter, with any one or more of the States of Connecticut, Massachusetts, New Hampshire, Rhode Island and Vermont, that compact to be effective upon the filing of a copy thereof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§11051.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§11051.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§11051.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