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11422</w:t>
        <w:t xml:space="preserve">.  </w:t>
      </w:r>
      <w:r>
        <w:rPr>
          <w:b/>
        </w:rPr>
        <w:t xml:space="preserve">Loan transactions</w:t>
      </w:r>
    </w:p>
    <w:p>
      <w:pPr>
        <w:jc w:val="both"/>
        <w:spacing w:before="100" w:after="100"/>
        <w:ind w:start="360"/>
        <w:ind w:firstLine="360"/>
      </w:pPr>
      <w:r>
        <w:rPr/>
      </w:r>
      <w:r>
        <w:rPr/>
      </w:r>
      <w:r>
        <w:t xml:space="preserve">In furtherance of the purposes of this chapter, 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such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must be deemed to have been transferred on terms and to the extent specified in that agreement and that the effect of a sale of a beneficial interest or participation in a loan is the same as a sale of a loan.   In furtherance of the purposes of this chapter, the authority may also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must be and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§11422. Loan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§11422. Loan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§11422. LOAN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