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§11482. Exemption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§11482. Exemption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§11482. EXEMPTION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