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A</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federal Internal Revenu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federal Internal Revenue Code or any subsequent law.  Bonds issued pursuant to this section are not subject to any limitations or restrictions of any law that may limit the authority's power to issue those bonds.  The grant of power in this section may not be construed as limiting the inherent power of the State or its agencies under any other provision of law to issue debt, the interest on which is includable in the gross income of the holders under the federal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9-A.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A.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A.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