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§12005. Agreement for osteopathic loan students after July 1, 1981 and prior to January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 Agreement for osteopathic loan students after July 1, 1981 and prior to January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§12005. AGREEMENT FOR OSTEOPATHIC LOAN STUDENTS AFTER JULY 1, 1981 AND PRIOR TO JANUARY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