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§12102. COMPREHENSIVE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