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Vacancies</w:t>
      </w:r>
    </w:p>
    <w:p>
      <w:pPr>
        <w:jc w:val="both"/>
        <w:spacing w:before="100" w:after="100"/>
        <w:ind w:start="360"/>
        <w:ind w:firstLine="360"/>
      </w:pPr>
      <w:r>
        <w:rPr/>
      </w:r>
      <w:r>
        <w:rPr/>
      </w:r>
      <w:r>
        <w:t xml:space="preserve">Declaration and filling of vacancies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occurs:</w:t>
      </w:r>
    </w:p>
    <w:p>
      <w:pPr>
        <w:jc w:val="both"/>
        <w:spacing w:before="100" w:after="0"/>
        <w:ind w:start="720"/>
      </w:pPr>
      <w:r>
        <w:rPr/>
        <w:t>A</w:t>
        <w:t xml:space="preserve">.  </w:t>
      </w:r>
      <w:r>
        <w:rPr/>
      </w:r>
      <w:r>
        <w:t xml:space="preserve">When the term of the office of a school director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school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school director;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D</w:t>
        <w:t xml:space="preserve">.  </w:t>
      </w:r>
      <w:r>
        <w:rPr/>
      </w:r>
      <w:r>
        <w:t xml:space="preserve">When a school director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E</w:t>
        <w:t xml:space="preserve">.  </w:t>
      </w:r>
      <w:r>
        <w:rPr/>
      </w:r>
      <w:r>
        <w:t xml:space="preserve">Except in municipalities having a municipal charter, when a director is absent without excuse from 3 consecutive regular board meetings, the board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§§1, 2 (AMD).]</w:t>
      </w:r>
    </w:p>
    <w:p>
      <w:pPr>
        <w:jc w:val="both"/>
        <w:spacing w:before="100" w:after="0"/>
        <w:ind w:start="360"/>
        <w:ind w:firstLine="360"/>
      </w:pPr>
      <w:r>
        <w:rPr>
          <w:b/>
        </w:rPr>
        <w:t>2</w:t>
        <w:t xml:space="preserve">.  </w:t>
      </w:r>
      <w:r>
        <w:rPr>
          <w:b/>
        </w:rPr>
        <w:t xml:space="preserve">School board.</w:t>
        <w:t xml:space="preserve"> </w:t>
      </w:r>
      <w:r>
        <w:t xml:space="preserve"> </w:t>
      </w:r>
      <w:r>
        <w:t xml:space="preserve">The board of directors shall notify the municipal officers of the municipalities within the district before the annual town meeting or before the regular city election of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Vacancies shall be filled as follows.</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1983, c. 806, §16 (AMD).]</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§16 (AMD). PL 1987, c. 866,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