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12715</w:t>
        <w:t xml:space="preserve">.  </w:t>
      </w:r>
      <w:r>
        <w:rPr>
          <w:b/>
        </w:rPr>
        <w:t xml:space="preserve">Accreditation</w:t>
      </w:r>
    </w:p>
    <w:p>
      <w:pPr>
        <w:jc w:val="both"/>
        <w:spacing w:before="100" w:after="100"/>
        <w:ind w:start="360"/>
        <w:ind w:firstLine="360"/>
      </w:pPr>
      <w:r>
        <w:rPr/>
      </w:r>
      <w:r>
        <w:rPr/>
      </w:r>
      <w:r>
        <w:t xml:space="preserve">The colleges may seek and maintain membership in the appropriate regional accrediting association and shall strive to satisfy the requirements necessary to achieve and maintain accreditation as community colleges and to meet the requirements necessary to receive federal aid.  Whenever feasible and appropriate, programs of study offered by the colleges shall meet the requirements of the corresponding occupations for licensing, certification or registration.  As provided in </w:t>
      </w:r>
      <w:r>
        <w:t>Title 32</w:t>
      </w:r>
      <w:r>
        <w:t xml:space="preserve">, college graduates with appropriate training and experience shall be eligible for licensure as journeyman workers in certain specified occupations upon passage of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1989, c. 443, §51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§51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§12715.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§12715.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§12715.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