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12858</w:t>
        <w:t xml:space="preserve">.  </w:t>
      </w:r>
      <w:r>
        <w:rPr>
          <w:b/>
        </w:rPr>
        <w:t xml:space="preserve">Relationship of Maine Area Health Education Centers System to state health profession scholarship and loan programs</w:t>
      </w:r>
    </w:p>
    <w:p>
      <w:pPr>
        <w:jc w:val="both"/>
        <w:spacing w:before="100" w:after="100"/>
        <w:ind w:start="360"/>
        <w:ind w:firstLine="360"/>
      </w:pPr>
      <w:r>
        <w:rPr/>
      </w:r>
      <w:r>
        <w:rPr/>
      </w:r>
      <w:r>
        <w:t xml:space="preserve">The system shall cooperate with health profession students and programs that receive state support through the Finance Authority of Maine or other state entities.  The system may provide clinical training and other support to those students and programs as appropriate.</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§12858. Relationship of Maine Area Health Education Centers System to state health profession scholarship and loan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§12858. Relationship of Maine Area Health Education Centers System to state health profession scholarship and loan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§12858. RELATIONSHIP OF MAINE AREA HEALTH EDUCATION CENTERS SYSTEM TO STATE HEALTH PROFESSION SCHOLARSHIP AND LOAN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