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§12922. MAINE SCIENCE, TECHNOLOGY, ENGINEERING AND MATHEMATICS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