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w:t>
        <w:t xml:space="preserve">.  </w:t>
      </w:r>
      <w:r>
        <w:rPr>
          <w:b/>
        </w:rPr>
        <w:t xml:space="preserve">Visiting international teacher</w:t>
      </w:r>
    </w:p>
    <w:p>
      <w:pPr>
        <w:jc w:val="both"/>
        <w:spacing w:before="100" w:after="0"/>
        <w:ind w:start="360"/>
        <w:ind w:firstLine="360"/>
      </w:pPr>
      <w:r>
        <w:rPr>
          <w:b/>
        </w:rPr>
        <w:t>1</w:t>
        <w:t xml:space="preserve">.  </w:t>
      </w:r>
      <w:r>
        <w:rPr>
          <w:b/>
        </w:rPr>
        <w:t xml:space="preserve">Clearance.</w:t>
        <w:t xml:space="preserve"> </w:t>
      </w:r>
      <w:r>
        <w:t xml:space="preserve"> </w:t>
      </w:r>
      <w:r>
        <w:t xml:space="preserve">A teacher from a country other than the United States who is participating in a visiting teacher program established and administered by the department, a locally established sister-school exchange or a locally established language immersion program may teach in a school as long as the teacher is issued a clearance by the department. The teacher may be authorized to act as an adjunct to existing staff and may not be used to avoid the hiring of professional, certified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§4 (AMD).]</w:t>
      </w:r>
    </w:p>
    <w:p>
      <w:pPr>
        <w:jc w:val="both"/>
        <w:spacing w:before="100" w:after="0"/>
        <w:ind w:start="360"/>
        <w:ind w:firstLine="360"/>
      </w:pPr>
      <w:r>
        <w:rPr>
          <w:b/>
        </w:rPr>
        <w:t>2</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§18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2017, c. 235, §18 (AMD). PL 2017, c. 235, §41 (AFF). PL 2021, c. 228,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§13019. Visiting international teacher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 Visiting international teacher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 VISITING INTERNATIONAL TEACHER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