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13113</w:t>
        <w:t xml:space="preserve">.  </w:t>
      </w:r>
      <w:r>
        <w:rPr>
          <w:b/>
        </w:rPr>
        <w:t xml:space="preserve">Report</w:t>
      </w:r>
    </w:p>
    <w:p>
      <w:pPr>
        <w:jc w:val="both"/>
        <w:spacing w:before="100" w:after="100"/>
        <w:ind w:start="360"/>
        <w:ind w:firstLine="360"/>
      </w:pPr>
      <w:r>
        <w:rPr/>
      </w:r>
      <w:r>
        <w:rPr/>
      </w:r>
      <w:r>
        <w:t xml:space="preserve">A regional school leadership academy shall provide to the joint standing committee of the Legislature having jurisdiction over education matters an annual report that includes information regarding the regional school leadership academy, including the name and location of the academy; the number of teachers, principals and other school leaders trained, mentored and coached; the dollar amount expended; and, if applicable, the number of teachers who were employed as principals or other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§13113.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