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1472-A</w:t>
        <w:t xml:space="preserve">.  </w:t>
      </w:r>
      <w:r>
        <w:rPr>
          <w:b/>
        </w:rPr>
        <w:t xml:space="preserve">Election of initial regional school unit board</w:t>
      </w:r>
    </w:p>
    <w:p>
      <w:pPr>
        <w:jc w:val="both"/>
        <w:spacing w:before="100" w:after="100"/>
        <w:ind w:start="360"/>
        <w:ind w:firstLine="360"/>
      </w:pPr>
      <w:r>
        <w:rPr>
          <w:b/>
        </w:rPr>
        <w:t>1</w:t>
        <w:t xml:space="preserve">.  </w:t>
      </w:r>
      <w:r>
        <w:rPr>
          <w:b/>
        </w:rPr>
        <w:t xml:space="preserve">Election; interim secretary; duties.</w:t>
        <w:t xml:space="preserve"> </w:t>
      </w:r>
      <w:r>
        <w:t xml:space="preserve"> </w:t>
      </w:r>
      <w:r>
        <w:t xml:space="preserve">Within 30 days of the issuance of a certificate of organization for the regional school unit by the state board pursuant to </w:t>
      </w:r>
      <w:r>
        <w:t>section 1461, subsection 7</w:t>
      </w:r>
      <w:r>
        <w:t xml:space="preserve">, the members of the school boards of the school administrative units within the regional school unit shall conduct a joint meeting for the purposes of electing an interim secretary of the regional school unit and determining a date for the election of the initial regional school unit board.  The interim secretary shall notify the municipal officers of the member municipalities of the regional school unit of the date of the election.  The election must be conducted in accordance with </w:t>
      </w:r>
      <w:r>
        <w:t>section 1473, subsection 2</w:t>
      </w:r>
      <w:r>
        <w:t xml:space="preserve">, except that the election duties of the secretary and the regional school unit board must be performed by the interim secretary.  The duties of the interim secretary include:</w:t>
      </w:r>
    </w:p>
    <w:p>
      <w:pPr>
        <w:jc w:val="both"/>
        <w:spacing w:before="100" w:after="0"/>
        <w:ind w:start="720"/>
      </w:pPr>
      <w:r>
        <w:rPr/>
        <w:t>A</w:t>
        <w:t xml:space="preserve">.  </w:t>
      </w:r>
      <w:r>
        <w:rPr/>
      </w:r>
      <w:r>
        <w:t xml:space="preserve">Notifying the municipal officers of the date of the election;</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B</w:t>
        <w:t xml:space="preserve">.  </w:t>
      </w:r>
      <w:r>
        <w:rPr/>
      </w:r>
      <w:r>
        <w:t xml:space="preserve">Furnishing nomination papers at least 10 days before the deadline for filing nomination papers;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C</w:t>
        <w:t xml:space="preserve">.  </w:t>
      </w:r>
      <w:r>
        <w:rPr/>
      </w:r>
      <w:r>
        <w:t xml:space="preserve">Receiving completed nomination papers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D</w:t>
        <w:t xml:space="preserve">.  </w:t>
      </w:r>
      <w:r>
        <w:rPr/>
      </w:r>
      <w:r>
        <w:t xml:space="preserve">Preparing and distributing election ballots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E</w:t>
        <w:t xml:space="preserve">.  </w:t>
      </w:r>
      <w:r>
        <w:rPr/>
      </w:r>
      <w:r>
        <w:t xml:space="preserve">Receiving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F</w:t>
        <w:t xml:space="preserve">.  </w:t>
      </w:r>
      <w:r>
        <w:rPr/>
      </w:r>
      <w:r>
        <w:t xml:space="preserve">Tabulating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G</w:t>
        <w:t xml:space="preserve">.  </w:t>
      </w:r>
      <w:r>
        <w:rPr/>
      </w:r>
      <w:r>
        <w:t xml:space="preserve">Accepting any recount petitions that may have been filed pursuant to </w:t>
      </w:r>
      <w:r>
        <w:t>section 1473, 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H</w:t>
        <w:t xml:space="preserve">.  </w:t>
      </w:r>
      <w:r>
        <w:rPr/>
      </w:r>
      <w:r>
        <w:t xml:space="preserve">Totaling the votes cast for each candidate and notifying the clerk in each municipality, the candidates and the commissioner of the final results of the voting and the names and addresses of the persons elected as directors.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w:pPr>
        <w:jc w:val="both"/>
        <w:spacing w:before="100" w:after="0"/>
        <w:ind w:start="360"/>
        <w:ind w:firstLine="360"/>
      </w:pPr>
      <w:r>
        <w:rPr>
          <w:b/>
        </w:rPr>
        <w:t>2</w:t>
        <w:t xml:space="preserve">.  </w:t>
      </w:r>
      <w:r>
        <w:rPr>
          <w:b/>
        </w:rPr>
        <w:t xml:space="preserve">Initial meeting.</w:t>
        <w:t xml:space="preserve"> </w:t>
      </w:r>
      <w:r>
        <w:t xml:space="preserve"> </w:t>
      </w:r>
      <w:r>
        <w:t xml:space="preserve">In accordance with </w:t>
      </w:r>
      <w:r>
        <w:t>section 1473, subsection 1</w:t>
      </w:r>
      <w:r>
        <w:t xml:space="preserve">, the clerk of each municipality within the regional school unit shall forward the names and addresses of the directors elected to represent that municipality to the state board with other data regarding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§1472-A. Election of initial regional school unit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§1472-A. Election of initial regional school unit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§1472-A. ELECTION OF INITIAL REGIONAL SCHOOL UNIT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