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Budget preparation</w:t>
      </w:r>
    </w:p>
    <w:p>
      <w:pPr>
        <w:jc w:val="both"/>
        <w:spacing w:before="100" w:after="100"/>
        <w:ind w:start="360"/>
        <w:ind w:firstLine="360"/>
      </w:pPr>
      <w:r>
        <w:rPr>
          <w:b/>
        </w:rPr>
        <w:t>1</w:t>
        <w:t xml:space="preserve">.  </w:t>
      </w:r>
      <w:r>
        <w:rPr>
          <w:b/>
        </w:rPr>
        <w:t xml:space="preserve">Preparation by regional school unit board.</w:t>
        <w:t xml:space="preserve"> </w:t>
      </w:r>
      <w:r>
        <w:t xml:space="preserve"> </w:t>
      </w:r>
      <w:r>
        <w:t xml:space="preserve">A regional school unit board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Rentals and other charges in a contract;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a regional school unit budget meeting, the regional school unit board shall make available to the legislative body responsible for final budget approval and residents of the regional school unit a detailed budget document.  The detailed budget document must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§1482. Budget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Budget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§1482. BUDGET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