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1487</w:t>
        <w:t xml:space="preserve">.  </w:t>
      </w:r>
      <w:r>
        <w:rPr>
          <w:b/>
        </w:rPr>
        <w:t xml:space="preserve">Failure to pass budget</w:t>
      </w:r>
    </w:p>
    <w:p>
      <w:pPr>
        <w:jc w:val="both"/>
        <w:spacing w:before="100" w:after="100"/>
        <w:ind w:start="360"/>
        <w:ind w:firstLine="360"/>
      </w:pPr>
      <w:r>
        <w:rPr/>
      </w:r>
      <w:r>
        <w:rPr/>
      </w:r>
      <w:r>
        <w:t xml:space="preserve">If a budget for the operation of a regional school unit is not approved prior to July 1st, the latest budget approved at a regional school unit budget meeting and submitted to the voters for validation at a referendum in accordance with </w:t>
      </w:r>
      <w:r>
        <w:t>section 1486</w:t>
      </w:r>
      <w:r>
        <w:t xml:space="preserve"> is automatically considered the budget for operational expenses for the ensuing year until a final budget is approved, except that, when the regional school unit board delays the regional school unit budget meeting, the operating budget must be approved within 30 days of the date the commissioner notifies the regional school unit board of the amount allocated to the regional school unit under </w:t>
      </w:r>
      <w:r>
        <w:t>section 15689‑B</w:t>
      </w:r>
      <w:r>
        <w:t xml:space="preserve">, or the latest budget submitted by the regional school unit board becomes the operating budget for the next school year until a budget is approved at a regional school unit budget meeting and validated at a referendum. If the budget of a regional school unit is not approved and validated before July 1st and the officers of any affected municipality determine that the property taxes must be committed in a timely manner to the collector pursuant to </w:t>
      </w:r>
      <w:r>
        <w:t>Title 36, section 709</w:t>
      </w:r>
      <w:r>
        <w:t xml:space="preserve">, the municipal assessor or assessors may commit the property taxes on the basis of the latest budget approved at a regional school unit budget meeting and submitted to the voters for validation at a referendum in accordance with </w:t>
      </w:r>
      <w:r>
        <w:t>section 1486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§1487. Failure to pass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§1487. Failure to pass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§1487. FAILURE TO PASS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