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§15004. UNEXPENDED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