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until fiscal year 2025-26,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2023, c. 643, Pt. G, §2 (AMD).]</w:t>
      </w:r>
    </w:p>
    <w:p>
      <w:pPr>
        <w:jc w:val="both"/>
        <w:spacing w:before="100" w:after="0"/>
        <w:ind w:start="720"/>
      </w:pPr>
      <w:r>
        <w:rPr/>
        <w:t>C</w:t>
        <w:t xml:space="preserve">.  </w:t>
      </w:r>
      <w:r>
        <w:rPr/>
      </w:r>
      <w:r>
        <w:t xml:space="preserve">For fiscal year 2025-26 and for each subsequent fiscal year, the commissioner shall update the previous year's salary matrix to reflect appropriate trends in the Consumer Price Index or other comparable index and to reflect any increase in the minimum hourly wage of educational technicians and other school support staff in accordance with </w:t>
      </w:r>
      <w:r>
        <w:t>section 4016,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2023, c. 643, Pt. G,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§15677. Salary matrix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§15677. Salary matrix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§15677. SALARY MATRIX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