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community school district budgets developed after January 1, 2008 must conform to the format and referendum procedures for regional school units as set forth in </w:t>
      </w:r>
      <w:r>
        <w:t>sections 1485</w:t>
      </w:r>
      <w:r>
        <w:t xml:space="preserve"> and </w:t>
      </w:r>
      <w:r>
        <w:t>1486</w:t>
      </w:r>
      <w:r>
        <w:t xml:space="preserve">.  A community school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§26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§16 (NEW). PL 2007, c. 668, §26 (AMD). PL 2007, c. 668,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§1701-C. Mandatory budget validation and cost center summary budget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§1701-C. Mandatory budget validation and cost center summary budget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§1701-C. MANDATORY BUDGET VALIDATION AND COST CENTER SUMMARY BUDGET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