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School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School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§2307. SCHOOL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