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§2402. PUBLIC CHARTER SCHOOLS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