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Governing body requirements</w:t>
      </w:r>
    </w:p>
    <w:p>
      <w:pPr>
        <w:jc w:val="both"/>
        <w:spacing w:before="100" w:after="100"/>
        <w:ind w:start="360"/>
        <w:ind w:firstLine="360"/>
      </w:pPr>
      <w:r>
        <w:rPr/>
      </w:r>
      <w:r>
        <w:rPr/>
      </w:r>
      <w:r>
        <w:t xml:space="preserve">Nothing in this subchapter shall restrict the authority of the governing body of a private school to require additional subjects to be taught in their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 Governing body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Governing body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§2903. GOVERNING BODY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