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Accreditation</w:t>
      </w:r>
    </w:p>
    <w:p>
      <w:pPr>
        <w:jc w:val="both"/>
        <w:spacing w:before="100" w:after="100"/>
        <w:ind w:start="360"/>
        <w:ind w:firstLine="360"/>
      </w:pPr>
      <w:r>
        <w:rPr/>
      </w:r>
      <w:r>
        <w:rPr/>
      </w:r>
      <w:r>
        <w:t xml:space="preserve">Any private school which chooses the accreditation method of approval shall make available to the commissioner on a timely basis all accreditation reports on the school and shall notify the commissioner promptly upon a determination that the school is not accredited or is on probation.</w:t>
      </w:r>
      <w:r>
        <w:t xml:space="preserve">  </w:t>
      </w:r>
      <w:r xmlns:wp="http://schemas.openxmlformats.org/drawingml/2010/wordprocessingDrawing" xmlns:w15="http://schemas.microsoft.com/office/word/2012/wordml">
        <w:rPr>
          <w:rFonts w:ascii="Arial" w:hAnsi="Arial" w:cs="Arial"/>
          <w:sz w:val="22"/>
          <w:szCs w:val="22"/>
        </w:rPr>
        <w:t xml:space="preserve">[PL 1983, c. 859, Pt. A, §§ 7,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§§A7,A25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§2906.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§2906.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