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§3610. APPROVAL BY STATE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