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3667</w:t>
        <w:t xml:space="preserve">.  </w:t>
      </w:r>
      <w:r>
        <w:rPr>
          <w:b/>
        </w:rPr>
        <w:t xml:space="preserve">Immunity from tort liability</w:t>
      </w:r>
    </w:p>
    <w:p>
      <w:pPr>
        <w:jc w:val="both"/>
        <w:spacing w:before="100" w:after="100"/>
        <w:ind w:start="360"/>
        <w:ind w:firstLine="360"/>
      </w:pPr>
      <w:r>
        <w:rPr/>
      </w:r>
      <w:r>
        <w:rPr/>
      </w:r>
      <w:r>
        <w:t xml:space="preserve">Notwithstanding the fact that an interstate district may derive income from operating profit, fees, rentals and other services, it shall be immune from suit and from liability for injury to persons or property and for other torts caused by it or its agents, servants or independent contractors, except insofar as it may have undertaken such liability under RSA 221:7 relating to workers' compensation, or RSA 412:3 relating to the procurement of liability insurance by a governmental agency and except insofar as it may have undertaken such liability under Maine laws relating to workers' compensation or Maine laws relating to the procurement of liability insurance by a governmental agency.</w:t>
      </w:r>
      <w:r>
        <w:t xml:space="preserve">  </w:t>
      </w:r>
      <w:r xmlns:wp="http://schemas.openxmlformats.org/drawingml/2010/wordprocessingDrawing" xmlns:w15="http://schemas.microsoft.com/office/word/2012/wordml">
        <w:rPr>
          <w:rFonts w:ascii="Arial" w:hAnsi="Arial" w:cs="Arial"/>
          <w:sz w:val="22"/>
          <w:szCs w:val="22"/>
        </w:rPr>
        <w:t xml:space="preserve">[PL 1987, c. 769, Pt. A,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769, §A61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§3667. Immunity from tort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§3667. Immunity from tort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§3667. IMMUNITY FROM TORT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