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3671</w:t>
        <w:t xml:space="preserve">.  </w:t>
      </w:r>
      <w:r>
        <w:rPr>
          <w:b/>
        </w:rPr>
        <w:t xml:space="preserve">Separability</w:t>
      </w:r>
    </w:p>
    <w:p>
      <w:pPr>
        <w:jc w:val="both"/>
        <w:spacing w:before="100" w:after="100"/>
        <w:ind w:start="360"/>
        <w:ind w:firstLine="360"/>
      </w:pPr>
      <w:r>
        <w:rPr/>
      </w:r>
      <w:r>
        <w:rPr/>
      </w:r>
      <w:r>
        <w:t xml:space="preserve">If any of the provisions of this compact or legislation enabling the same shall be held invalid or unconstitutional in relation to any of the applications thereof, such invalidity or unconstitutionality shall not affect other applications thereof or other provisions thereof, and to this end the provisions of this compact are declared to be severable.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§3671. Separability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§3671. Separability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§3671. SEPARABILITY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