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Instruction in American history, African American studies, Maine studies, Wabanaki studies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Wabanaki studies, and Wabanaki studies may be taught as a component of other content areas, as appropriate, including but not limited to the content areas of English language arts, mathematics, science and fine arts. Wabanaki studies and Maine African American studies must be included in the review of content standards and performance indicators of the learning results conducted in accordance with </w:t>
      </w:r>
      <w:r>
        <w:t>section 6209, subsection 4</w:t>
      </w:r>
      <w:r>
        <w:t xml:space="preserve">. Wabanaki studies must address the following topics:</w:t>
      </w:r>
    </w:p>
    <w:p>
      <w:pPr>
        <w:jc w:val="both"/>
        <w:spacing w:before="100" w:after="0"/>
        <w:ind w:start="720"/>
      </w:pPr>
      <w:r>
        <w:rPr/>
        <w:t>A</w:t>
        <w:t xml:space="preserve">.  </w:t>
      </w:r>
      <w:r>
        <w:rPr/>
      </w:r>
      <w:r>
        <w:t xml:space="preserve">Wabanaki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B</w:t>
        <w:t xml:space="preserve">.  </w:t>
      </w:r>
      <w:r>
        <w:rPr/>
      </w:r>
      <w:r>
        <w:t xml:space="preserve">Wabanaki cultural systems and the experience of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C</w:t>
        <w:t xml:space="preserve">.  </w:t>
      </w:r>
      <w:r>
        <w:rPr/>
      </w:r>
      <w:r>
        <w:t xml:space="preserve">Wabanaki territories; and</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D</w:t>
        <w:t xml:space="preserve">.  </w:t>
      </w:r>
      <w:r>
        <w:rPr/>
      </w:r>
      <w:r>
        <w:t xml:space="preserve">Wabanaki economic systems.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537, §2 (AMD).]</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PL 2023, c. 537,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 Instruction in American history, African American studies, Maine studies, Wabanaki studies and the history of genocide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Instruction in American history, African American studies, Maine studies, Wabanaki studies and the history of genocide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§4706. INSTRUCTION IN AMERICAN HISTORY, AFRICAN AMERICAN STUDIES, MAINE STUDIES, WABANAKI STUDIES AND THE HISTORY OF GENOCIDE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