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§4710-C. Mobile learning lab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§4710-C. Mobile learning lab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§4710-C. MOBILE LEARNING LAB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