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§4710. Kindergarten to grade 12 interventions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Kindergarten to grade 12 interventions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 KINDERGARTEN TO GRADE 12 INTERVENTIONS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