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4721</w:t>
        <w:t xml:space="preserve">.  </w:t>
      </w:r>
      <w:r>
        <w:rPr>
          <w:b/>
        </w:rPr>
        <w:t xml:space="preserve">General requirement</w:t>
      </w:r>
    </w:p>
    <w:p>
      <w:pPr>
        <w:jc w:val="both"/>
        <w:spacing w:before="100" w:after="0"/>
        <w:ind w:start="360"/>
        <w:ind w:firstLine="360"/>
      </w:pPr>
      <w:r>
        <w:rPr>
          <w:b/>
        </w:rPr>
        <w:t>1</w:t>
        <w:t xml:space="preserve">.  </w:t>
      </w:r>
      <w:r>
        <w:rPr>
          <w:b/>
        </w:rPr>
        <w:t xml:space="preserve">Comprehensive program of instruction.</w:t>
        <w:t xml:space="preserve"> </w:t>
      </w:r>
      <w:r>
        <w:t xml:space="preserve"> </w:t>
      </w:r>
      <w:r>
        <w:t xml:space="preserve">A secondary school shall provide a comprehensive program of instruction, which must meet the requirements of this chapter and the parameters for essential instruction and diploma requirements established under </w:t>
      </w:r>
      <w:r>
        <w:t>section 6209</w:t>
      </w:r>
      <w:r>
        <w:t xml:space="preserve">.  The program must include instruction for all students in life and career readiness, English language arts, health education and physical education, mathematics, technology, science and engineering, social studies, visual and performing arts and world languages.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§5 (AMD).]</w:t>
      </w:r>
    </w:p>
    <w:p>
      <w:pPr>
        <w:jc w:val="both"/>
        <w:spacing w:before="100" w:after="0"/>
        <w:ind w:start="360"/>
        <w:ind w:firstLine="360"/>
      </w:pPr>
      <w:r>
        <w:rPr>
          <w:b/>
        </w:rPr>
        <w:t>2</w:t>
        <w:t xml:space="preserve">.  </w:t>
      </w:r>
      <w:r>
        <w:rPr>
          <w:b/>
        </w:rPr>
        <w:t xml:space="preserve">Secondary school organization and delivery of instruction.</w:t>
        <w:t xml:space="preserve"> </w:t>
      </w:r>
      <w:r>
        <w:t xml:space="preserve"> </w:t>
      </w:r>
      <w:r>
        <w:t xml:space="preserve">A secondary school shall provide a structure that allows for student achievement of the parameters for essential instruction and graduation requirements established under </w:t>
      </w:r>
      <w:r>
        <w:t>section 6209</w:t>
      </w:r>
      <w:r>
        <w:t xml:space="preserve"> in multiple pathways as set out under </w:t>
      </w:r>
      <w:r>
        <w:t>section 4703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§22 (AMD). PL 2009, c. 313, §13 (RPR). PL 2021, c. 190, §3 (AMD). PL 2021, c. 571,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§4721. General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§4721. General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§4721. GENERAL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