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§4726. WORLD LANGUAGES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