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Dropout prevention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Dropout prevention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§5103. DROPOUT PREVENTION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