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Student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Student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§6301. STUDENT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